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6242"/>
        <w:gridCol w:w="2496"/>
      </w:tblGrid>
      <w:tr w:rsidR="002A3094" w:rsidTr="00603E18">
        <w:trPr>
          <w:trHeight w:val="349"/>
        </w:trPr>
        <w:tc>
          <w:tcPr>
            <w:tcW w:w="612" w:type="dxa"/>
          </w:tcPr>
          <w:p w:rsidR="002A3094" w:rsidRPr="00C6673E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 w:rsidRPr="00C6673E">
              <w:rPr>
                <w:rFonts w:ascii="Arial" w:hAnsi="Arial" w:cs="Arial"/>
              </w:rPr>
              <w:t>1</w:t>
            </w:r>
          </w:p>
        </w:tc>
        <w:tc>
          <w:tcPr>
            <w:tcW w:w="6242" w:type="dxa"/>
          </w:tcPr>
          <w:p w:rsidR="002A3094" w:rsidRPr="00C6673E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 w:rsidRPr="00C6673E">
              <w:rPr>
                <w:rFonts w:ascii="Arial" w:hAnsi="Arial" w:cs="Arial"/>
              </w:rPr>
              <w:t>Hardware</w:t>
            </w:r>
          </w:p>
        </w:tc>
        <w:tc>
          <w:tcPr>
            <w:tcW w:w="2496" w:type="dxa"/>
          </w:tcPr>
          <w:p w:rsidR="002A3094" w:rsidRPr="00031236" w:rsidRDefault="002A3094" w:rsidP="00603E18">
            <w:pPr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  <w:r w:rsidRPr="00031236">
              <w:rPr>
                <w:sz w:val="22"/>
                <w:szCs w:val="22"/>
              </w:rPr>
              <w:t>Fixed Fee ($)</w:t>
            </w:r>
          </w:p>
        </w:tc>
      </w:tr>
      <w:tr w:rsidR="002A3094" w:rsidTr="00603E18">
        <w:trPr>
          <w:trHeight w:val="349"/>
        </w:trPr>
        <w:tc>
          <w:tcPr>
            <w:tcW w:w="61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color w:val="1A231D"/>
                <w:sz w:val="22"/>
                <w:szCs w:val="22"/>
              </w:rPr>
            </w:pPr>
          </w:p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color w:val="1A231D"/>
                <w:sz w:val="22"/>
                <w:szCs w:val="22"/>
              </w:rPr>
            </w:pPr>
            <w:r>
              <w:rPr>
                <w:rFonts w:ascii="Arial" w:hAnsi="Arial" w:cs="Arial"/>
                <w:color w:val="1A231D"/>
                <w:sz w:val="22"/>
                <w:szCs w:val="22"/>
              </w:rPr>
              <w:t xml:space="preserve">What are the total costs </w:t>
            </w:r>
            <w:r w:rsidRPr="00273EC3">
              <w:rPr>
                <w:rFonts w:ascii="Arial" w:hAnsi="Arial" w:cs="Arial"/>
                <w:color w:val="1A231D"/>
                <w:sz w:val="22"/>
                <w:szCs w:val="22"/>
              </w:rPr>
              <w:t>related to the hardware infrastructure needed to deploy including:  computers; servers, needed peripherals, etc.  Details must include all necessary specification to run the software. Please provide total hardware costs for the specified prior engagement(s).</w:t>
            </w:r>
          </w:p>
          <w:p w:rsidR="002A3094" w:rsidRPr="00C01B1D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:rsidR="002A3094" w:rsidRPr="00031236" w:rsidRDefault="002A3094" w:rsidP="00603E18">
            <w:pPr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</w:tc>
      </w:tr>
      <w:tr w:rsidR="002A3094" w:rsidTr="00603E18">
        <w:trPr>
          <w:trHeight w:val="349"/>
        </w:trPr>
        <w:tc>
          <w:tcPr>
            <w:tcW w:w="612" w:type="dxa"/>
          </w:tcPr>
          <w:p w:rsidR="002A3094" w:rsidRPr="00C6673E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 w:rsidRPr="00C6673E">
              <w:rPr>
                <w:rFonts w:ascii="Arial" w:hAnsi="Arial" w:cs="Arial"/>
              </w:rPr>
              <w:t>2</w:t>
            </w:r>
          </w:p>
        </w:tc>
        <w:tc>
          <w:tcPr>
            <w:tcW w:w="6242" w:type="dxa"/>
          </w:tcPr>
          <w:p w:rsidR="002A3094" w:rsidRPr="00C6673E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 w:rsidRPr="00C6673E">
              <w:rPr>
                <w:rFonts w:ascii="Arial" w:hAnsi="Arial" w:cs="Arial"/>
              </w:rPr>
              <w:t>Software Licenses</w:t>
            </w:r>
          </w:p>
        </w:tc>
        <w:tc>
          <w:tcPr>
            <w:tcW w:w="2496" w:type="dxa"/>
          </w:tcPr>
          <w:p w:rsidR="002A3094" w:rsidRPr="00031236" w:rsidRDefault="002A3094" w:rsidP="00603E18">
            <w:pPr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</w:tc>
      </w:tr>
      <w:tr w:rsidR="002A3094" w:rsidRPr="00294DF2" w:rsidTr="00603E18">
        <w:trPr>
          <w:trHeight w:val="1475"/>
        </w:trPr>
        <w:tc>
          <w:tcPr>
            <w:tcW w:w="612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  <w:r w:rsidRPr="00294DF2">
              <w:rPr>
                <w:rFonts w:ascii="Arial" w:hAnsi="Arial" w:cs="Arial"/>
                <w:sz w:val="22"/>
                <w:szCs w:val="22"/>
              </w:rPr>
              <w:t xml:space="preserve">What is the total, all-inclusive license cost of the proposed solution, including any software tools needed to build or support the systems, to serve 1500 concurrent users?  </w:t>
            </w:r>
            <w:r w:rsidRPr="00D2681A">
              <w:rPr>
                <w:rFonts w:ascii="Arial" w:hAnsi="Arial" w:cs="Arial"/>
                <w:sz w:val="22"/>
                <w:szCs w:val="22"/>
              </w:rPr>
              <w:t>What is the ongoing yearly support and maintenance fees based on the aforementioned 1500 concurrent users?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4DF2">
              <w:rPr>
                <w:rFonts w:ascii="Arial" w:hAnsi="Arial" w:cs="Arial"/>
                <w:sz w:val="22"/>
                <w:szCs w:val="22"/>
              </w:rPr>
              <w:t>Please list by product name and purpose.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</w:tr>
      <w:tr w:rsidR="002A3094" w:rsidRPr="00294DF2" w:rsidTr="00603E18">
        <w:tc>
          <w:tcPr>
            <w:tcW w:w="612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Planning and Scheduling</w:t>
            </w:r>
          </w:p>
        </w:tc>
        <w:tc>
          <w:tcPr>
            <w:tcW w:w="2496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</w:tr>
      <w:tr w:rsidR="002A3094" w:rsidRPr="00294DF2" w:rsidTr="00603E18">
        <w:trPr>
          <w:trHeight w:val="1268"/>
        </w:trPr>
        <w:tc>
          <w:tcPr>
            <w:tcW w:w="61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2A3094" w:rsidRPr="00D2681A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  <w:r w:rsidRPr="00D2681A">
              <w:rPr>
                <w:rFonts w:ascii="Arial" w:hAnsi="Arial" w:cs="Arial"/>
                <w:sz w:val="22"/>
                <w:szCs w:val="22"/>
              </w:rPr>
              <w:t>What is the total, all-inclusive software installation and implementation cost, to include consultation and customization, software installation, and project management services.</w:t>
            </w:r>
          </w:p>
        </w:tc>
        <w:tc>
          <w:tcPr>
            <w:tcW w:w="2496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</w:tr>
      <w:tr w:rsidR="002A3094" w:rsidRPr="00294DF2" w:rsidTr="00603E18">
        <w:tc>
          <w:tcPr>
            <w:tcW w:w="61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2496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</w:tr>
      <w:tr w:rsidR="002A3094" w:rsidRPr="00294DF2" w:rsidTr="00603E18">
        <w:trPr>
          <w:trHeight w:val="1277"/>
        </w:trPr>
        <w:tc>
          <w:tcPr>
            <w:tcW w:w="61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  <w:tc>
          <w:tcPr>
            <w:tcW w:w="6242" w:type="dxa"/>
          </w:tcPr>
          <w:p w:rsidR="002A3094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2A3094" w:rsidRPr="00C01B1D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  <w:sz w:val="22"/>
                <w:szCs w:val="22"/>
              </w:rPr>
            </w:pPr>
            <w:r w:rsidRPr="00C01B1D">
              <w:rPr>
                <w:rFonts w:ascii="Arial" w:hAnsi="Arial" w:cs="Arial"/>
                <w:sz w:val="22"/>
                <w:szCs w:val="22"/>
              </w:rPr>
              <w:t>What is the total, all-inclusive end-user training cost for the proposed solution, based on an estimate of 20 users for system/administrative training and 100 end-users in a train-the-trainer approach?</w:t>
            </w:r>
          </w:p>
        </w:tc>
        <w:tc>
          <w:tcPr>
            <w:tcW w:w="2496" w:type="dxa"/>
          </w:tcPr>
          <w:p w:rsidR="002A3094" w:rsidRPr="00294DF2" w:rsidRDefault="002A3094" w:rsidP="00603E18">
            <w:pPr>
              <w:kinsoku w:val="0"/>
              <w:overflowPunct w:val="0"/>
              <w:spacing w:before="19" w:line="220" w:lineRule="exact"/>
              <w:rPr>
                <w:rFonts w:ascii="Arial" w:hAnsi="Arial" w:cs="Arial"/>
              </w:rPr>
            </w:pPr>
          </w:p>
        </w:tc>
      </w:tr>
    </w:tbl>
    <w:p w:rsidR="00C91AD1" w:rsidRDefault="00C91AD1"/>
    <w:sectPr w:rsidR="00C91A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94" w:rsidRDefault="002A3094" w:rsidP="002A3094">
      <w:pPr>
        <w:spacing w:after="0" w:line="240" w:lineRule="auto"/>
      </w:pPr>
      <w:r>
        <w:separator/>
      </w:r>
    </w:p>
  </w:endnote>
  <w:endnote w:type="continuationSeparator" w:id="0">
    <w:p w:rsidR="002A3094" w:rsidRDefault="002A3094" w:rsidP="002A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94" w:rsidRDefault="002A3094" w:rsidP="002A3094">
      <w:pPr>
        <w:spacing w:after="0" w:line="240" w:lineRule="auto"/>
      </w:pPr>
      <w:r>
        <w:separator/>
      </w:r>
    </w:p>
  </w:footnote>
  <w:footnote w:type="continuationSeparator" w:id="0">
    <w:p w:rsidR="002A3094" w:rsidRDefault="002A3094" w:rsidP="002A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94" w:rsidRDefault="002A3094" w:rsidP="002A3094">
    <w:pPr>
      <w:pStyle w:val="BodyText"/>
      <w:kinsoku w:val="0"/>
      <w:overflowPunct w:val="0"/>
      <w:spacing w:line="245" w:lineRule="exact"/>
      <w:ind w:left="29"/>
      <w:rPr>
        <w:color w:val="000000"/>
      </w:rPr>
    </w:pPr>
    <w:r>
      <w:rPr>
        <w:color w:val="18231C"/>
        <w:w w:val="95"/>
      </w:rPr>
      <w:t>RFI#</w:t>
    </w:r>
    <w:r w:rsidRPr="009F6ED0">
      <w:rPr>
        <w:color w:val="18231C"/>
        <w:w w:val="95"/>
      </w:rPr>
      <w:t xml:space="preserve"> 50-770-15-04988</w:t>
    </w:r>
  </w:p>
  <w:p w:rsidR="002A3094" w:rsidRDefault="002A3094" w:rsidP="002A3094">
    <w:pPr>
      <w:pStyle w:val="BodyText"/>
      <w:kinsoku w:val="0"/>
      <w:overflowPunct w:val="0"/>
      <w:spacing w:line="238" w:lineRule="exact"/>
      <w:ind w:left="20"/>
      <w:rPr>
        <w:color w:val="18231C"/>
        <w:spacing w:val="-5"/>
        <w:w w:val="95"/>
      </w:rPr>
    </w:pPr>
    <w:r>
      <w:rPr>
        <w:color w:val="18231C"/>
        <w:w w:val="95"/>
      </w:rPr>
      <w:t>New</w:t>
    </w:r>
    <w:r>
      <w:rPr>
        <w:color w:val="18231C"/>
        <w:spacing w:val="-6"/>
        <w:w w:val="95"/>
      </w:rPr>
      <w:t xml:space="preserve"> </w:t>
    </w:r>
    <w:r>
      <w:rPr>
        <w:color w:val="18231C"/>
        <w:w w:val="95"/>
      </w:rPr>
      <w:t>Mexico</w:t>
    </w:r>
    <w:r>
      <w:rPr>
        <w:color w:val="18231C"/>
        <w:spacing w:val="-5"/>
        <w:w w:val="95"/>
      </w:rPr>
      <w:t xml:space="preserve"> Corrections Department</w:t>
    </w:r>
  </w:p>
  <w:p w:rsidR="002A3094" w:rsidRDefault="002A3094" w:rsidP="002A3094">
    <w:pPr>
      <w:pStyle w:val="BodyText"/>
      <w:kinsoku w:val="0"/>
      <w:overflowPunct w:val="0"/>
      <w:spacing w:line="238" w:lineRule="exact"/>
      <w:ind w:left="20"/>
      <w:rPr>
        <w:color w:val="18231C"/>
        <w:spacing w:val="-5"/>
        <w:w w:val="95"/>
      </w:rPr>
    </w:pPr>
    <w:r>
      <w:rPr>
        <w:color w:val="18231C"/>
        <w:spacing w:val="-5"/>
        <w:w w:val="95"/>
      </w:rPr>
      <w:t>Cost Response Form</w:t>
    </w:r>
  </w:p>
  <w:p w:rsidR="002A3094" w:rsidRPr="002A3094" w:rsidRDefault="002A3094" w:rsidP="002A3094">
    <w:pPr>
      <w:pStyle w:val="BodyText"/>
      <w:kinsoku w:val="0"/>
      <w:overflowPunct w:val="0"/>
      <w:spacing w:line="238" w:lineRule="exact"/>
      <w:ind w:left="20"/>
      <w:rPr>
        <w:color w:val="00000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94"/>
    <w:rsid w:val="002A3094"/>
    <w:rsid w:val="00C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2A63-7C73-4890-B290-890A155B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9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09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09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094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A3094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A3094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Brinegar</dc:creator>
  <cp:keywords/>
  <dc:description/>
  <cp:lastModifiedBy>Jerry Brinegar</cp:lastModifiedBy>
  <cp:revision>1</cp:revision>
  <dcterms:created xsi:type="dcterms:W3CDTF">2015-06-23T17:53:00Z</dcterms:created>
  <dcterms:modified xsi:type="dcterms:W3CDTF">2015-06-23T17:54:00Z</dcterms:modified>
</cp:coreProperties>
</file>